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7A6C06" w:rsidRDefault="004E400C">
      <w:pPr>
        <w:pStyle w:val="ae"/>
        <w:spacing w:line="276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Минэкономразвития напоминает предпринимателям о мерах господдержки и правах при госконтроле</w:t>
      </w:r>
    </w:p>
    <w:p w14:paraId="02000000" w14:textId="77777777" w:rsidR="007A6C06" w:rsidRDefault="007A6C06">
      <w:pPr>
        <w:pStyle w:val="ae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03000000" w14:textId="77777777" w:rsidR="007A6C06" w:rsidRDefault="004E400C">
      <w:pPr>
        <w:pStyle w:val="ae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Ежегодно </w:t>
      </w:r>
      <w:r>
        <w:rPr>
          <w:rFonts w:ascii="Times New Roman" w:hAnsi="Times New Roman"/>
          <w:color w:val="000000" w:themeColor="text1"/>
          <w:sz w:val="24"/>
          <w:u w:val="single"/>
        </w:rPr>
        <w:t>26 мая отмечается День российского предпринимательства</w:t>
      </w:r>
      <w:r>
        <w:rPr>
          <w:rFonts w:ascii="Times New Roman" w:hAnsi="Times New Roman"/>
          <w:color w:val="000000" w:themeColor="text1"/>
          <w:sz w:val="24"/>
        </w:rPr>
        <w:t xml:space="preserve">, установленный Указом Президента России. </w:t>
      </w:r>
    </w:p>
    <w:p w14:paraId="04000000" w14:textId="77777777" w:rsidR="007A6C06" w:rsidRDefault="004E400C">
      <w:pPr>
        <w:pStyle w:val="ae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Минэкономразвития России считает важным в этот праз</w:t>
      </w:r>
      <w:r>
        <w:rPr>
          <w:rFonts w:ascii="Times New Roman" w:hAnsi="Times New Roman"/>
          <w:color w:val="000000" w:themeColor="text1"/>
          <w:sz w:val="24"/>
        </w:rPr>
        <w:t xml:space="preserve">дник напомнить о мерах, которые помогают развитию предпринимательства, способствуют созданию более комфортной среды для работы малого, среднего и крупного бизнеса в России. Этому посвящена специальная серия видеороликов министерства, созданная при участии </w:t>
      </w:r>
      <w:r>
        <w:rPr>
          <w:rFonts w:ascii="Times New Roman" w:hAnsi="Times New Roman"/>
          <w:color w:val="000000" w:themeColor="text1"/>
          <w:sz w:val="24"/>
        </w:rPr>
        <w:br/>
        <w:t xml:space="preserve">центра институционального развития контрольной (надзорной) деятельности Фонда «ЦСР», о правах бизнесменов при госконтроле и актуальных мерах государственной поддержки, действующих в 2023 году для бизнеса. </w:t>
      </w:r>
    </w:p>
    <w:p w14:paraId="05000000" w14:textId="77777777" w:rsidR="007A6C06" w:rsidRDefault="004E400C">
      <w:pPr>
        <w:pStyle w:val="ae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 серию вошли три ролика: «ПРОВЕРКИ: ПРОСТО О ГЛА</w:t>
      </w:r>
      <w:r>
        <w:rPr>
          <w:rFonts w:ascii="Times New Roman" w:hAnsi="Times New Roman"/>
          <w:color w:val="000000" w:themeColor="text1"/>
          <w:sz w:val="24"/>
        </w:rPr>
        <w:t xml:space="preserve">ВНОМ» рассказывает </w:t>
      </w:r>
      <w:r>
        <w:rPr>
          <w:rFonts w:ascii="Times New Roman" w:hAnsi="Times New Roman"/>
          <w:color w:val="000000" w:themeColor="text1"/>
          <w:sz w:val="24"/>
        </w:rPr>
        <w:br/>
        <w:t xml:space="preserve">о правах предпринимателя при проведении проверок, «ПРЕДПРИНИМАТЕЛЮ </w:t>
      </w:r>
      <w:r>
        <w:rPr>
          <w:rFonts w:ascii="Times New Roman" w:hAnsi="Times New Roman"/>
          <w:color w:val="000000" w:themeColor="text1"/>
          <w:sz w:val="24"/>
        </w:rPr>
        <w:br/>
        <w:t>О ПРЕДОСТЕРЕЖЕНИИ» — о правах предпринимателей в случае получения предостережения, третий ролик дает обзор действующих мер государственной поддержки бизнеса.</w:t>
      </w:r>
    </w:p>
    <w:p w14:paraId="2D7CE84A" w14:textId="77777777" w:rsidR="004E400C" w:rsidRDefault="004E400C">
      <w:pPr>
        <w:pStyle w:val="ae"/>
        <w:spacing w:line="276" w:lineRule="auto"/>
        <w:ind w:firstLine="360"/>
        <w:jc w:val="both"/>
        <w:rPr>
          <w:rFonts w:ascii="XO Thames" w:hAnsi="XO Thames"/>
          <w:i/>
          <w:color w:val="000000" w:themeColor="text1"/>
          <w:sz w:val="24"/>
          <w:u w:val="single"/>
          <w:lang w:val="en-US"/>
        </w:rPr>
      </w:pPr>
    </w:p>
    <w:p w14:paraId="09000000" w14:textId="1BCD492C" w:rsidR="007A6C06" w:rsidRDefault="004E400C">
      <w:pPr>
        <w:pStyle w:val="ae"/>
        <w:spacing w:line="276" w:lineRule="auto"/>
        <w:ind w:firstLine="360"/>
        <w:jc w:val="both"/>
        <w:rPr>
          <w:rFonts w:ascii="XO Thames" w:hAnsi="XO Thames"/>
          <w:color w:val="000000" w:themeColor="text1"/>
          <w:sz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u w:val="single"/>
        </w:rPr>
        <w:t>О проверках</w:t>
      </w:r>
      <w:r>
        <w:rPr>
          <w:rFonts w:ascii="XO Thames" w:hAnsi="XO Thames"/>
          <w:color w:val="000000" w:themeColor="text1"/>
          <w:sz w:val="24"/>
          <w:u w:val="single"/>
        </w:rPr>
        <w:t xml:space="preserve"> </w:t>
      </w:r>
    </w:p>
    <w:p w14:paraId="0A000000" w14:textId="77777777" w:rsidR="007A6C06" w:rsidRDefault="004E400C">
      <w:pPr>
        <w:pStyle w:val="ae"/>
        <w:spacing w:line="276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Правительство России отменило плановые проверки до 2030 года. Мораторий 2022 года показал свою эффективность, количество проверок</w:t>
      </w:r>
      <w:r>
        <w:rPr>
          <w:rFonts w:ascii="XO Thames" w:hAnsi="XO Thames"/>
          <w:i/>
          <w:color w:val="000000" w:themeColor="text1"/>
          <w:sz w:val="24"/>
        </w:rPr>
        <w:t xml:space="preserve"> в России по сравнению с 2019 годом сократилось в 4,5 раза. Если в 2019 году насчитывалось 1,5 </w:t>
      </w:r>
      <w:proofErr w:type="gramStart"/>
      <w:r>
        <w:rPr>
          <w:rFonts w:ascii="XO Thames" w:hAnsi="XO Thames"/>
          <w:i/>
          <w:color w:val="000000" w:themeColor="text1"/>
          <w:sz w:val="24"/>
        </w:rPr>
        <w:t>млн</w:t>
      </w:r>
      <w:proofErr w:type="gramEnd"/>
      <w:r>
        <w:rPr>
          <w:rFonts w:ascii="XO Thames" w:hAnsi="XO Thames"/>
          <w:i/>
          <w:color w:val="000000" w:themeColor="text1"/>
          <w:sz w:val="24"/>
        </w:rPr>
        <w:t xml:space="preserve">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</w:t>
      </w:r>
      <w:r>
        <w:rPr>
          <w:rFonts w:ascii="XO Thames" w:hAnsi="XO Thames"/>
          <w:i/>
          <w:color w:val="000000" w:themeColor="text1"/>
          <w:sz w:val="24"/>
        </w:rPr>
        <w:t>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</w:t>
      </w:r>
      <w:r>
        <w:rPr>
          <w:rFonts w:ascii="XO Thames" w:hAnsi="XO Thames"/>
          <w:i/>
          <w:color w:val="000000" w:themeColor="text1"/>
          <w:sz w:val="24"/>
        </w:rPr>
        <w:t xml:space="preserve">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>
        <w:rPr>
          <w:rFonts w:ascii="XO Thames" w:hAnsi="XO Thames"/>
          <w:i/>
          <w:color w:val="000000" w:themeColor="text1"/>
          <w:sz w:val="24"/>
        </w:rPr>
        <w:t>Госуслуги</w:t>
      </w:r>
      <w:proofErr w:type="spellEnd"/>
      <w:r>
        <w:rPr>
          <w:rFonts w:ascii="XO Thames" w:hAnsi="XO Thames"/>
          <w:i/>
          <w:color w:val="000000" w:themeColor="text1"/>
          <w:sz w:val="24"/>
        </w:rPr>
        <w:t>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14:paraId="0B000000" w14:textId="77777777" w:rsidR="007A6C06" w:rsidRDefault="007A6C06">
      <w:pPr>
        <w:pStyle w:val="ae"/>
        <w:spacing w:line="276" w:lineRule="auto"/>
        <w:ind w:firstLine="360"/>
        <w:jc w:val="both"/>
        <w:rPr>
          <w:rFonts w:ascii="XO Thames" w:hAnsi="XO Thames"/>
          <w:color w:val="000000" w:themeColor="text1"/>
          <w:sz w:val="24"/>
        </w:rPr>
      </w:pPr>
    </w:p>
    <w:p w14:paraId="0C000000" w14:textId="77777777" w:rsidR="007A6C06" w:rsidRDefault="004E400C">
      <w:pPr>
        <w:pStyle w:val="ae"/>
        <w:spacing w:line="276" w:lineRule="auto"/>
        <w:jc w:val="both"/>
        <w:rPr>
          <w:rFonts w:ascii="XO Thames" w:hAnsi="XO Thames"/>
          <w:i/>
          <w:color w:val="000000" w:themeColor="text1"/>
          <w:sz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u w:val="single"/>
        </w:rPr>
        <w:t xml:space="preserve">О профилактических мероприятиях (профилактических визитах и предостережениях) </w:t>
      </w:r>
    </w:p>
    <w:p w14:paraId="0D000000" w14:textId="77777777" w:rsidR="007A6C06" w:rsidRDefault="004E400C">
      <w:pPr>
        <w:pStyle w:val="ae"/>
        <w:spacing w:line="276" w:lineRule="auto"/>
        <w:ind w:firstLine="360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Одна из наиболее заметных тенденц</w:t>
      </w:r>
      <w:r>
        <w:rPr>
          <w:rFonts w:ascii="XO Thames" w:hAnsi="XO Thames"/>
          <w:i/>
          <w:color w:val="000000" w:themeColor="text1"/>
          <w:sz w:val="24"/>
        </w:rPr>
        <w:t>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</w:t>
      </w:r>
      <w:r>
        <w:rPr>
          <w:rFonts w:ascii="XO Thames" w:hAnsi="XO Thames"/>
          <w:i/>
          <w:color w:val="000000" w:themeColor="text1"/>
          <w:sz w:val="24"/>
        </w:rPr>
        <w:t>илактических визитов проведено в 1,7 раза больше, чем проверок.</w:t>
      </w:r>
    </w:p>
    <w:p w14:paraId="0E000000" w14:textId="77777777" w:rsidR="007A6C06" w:rsidRDefault="007A6C06">
      <w:pPr>
        <w:pStyle w:val="ae"/>
        <w:spacing w:line="276" w:lineRule="auto"/>
        <w:jc w:val="both"/>
        <w:rPr>
          <w:rFonts w:ascii="XO Thames" w:hAnsi="XO Thames"/>
          <w:i/>
          <w:color w:val="000000" w:themeColor="text1"/>
          <w:sz w:val="24"/>
        </w:rPr>
      </w:pPr>
    </w:p>
    <w:p w14:paraId="0F000000" w14:textId="77777777" w:rsidR="007A6C06" w:rsidRDefault="004E400C">
      <w:pPr>
        <w:pStyle w:val="ae"/>
        <w:spacing w:line="276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</w:t>
      </w:r>
      <w:r>
        <w:rPr>
          <w:rFonts w:ascii="XO Thames" w:hAnsi="XO Thames"/>
          <w:i/>
          <w:color w:val="000000" w:themeColor="text1"/>
          <w:sz w:val="24"/>
        </w:rPr>
        <w:t xml:space="preserve">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14:paraId="10000000" w14:textId="77777777" w:rsidR="007A6C06" w:rsidRDefault="007A6C06">
      <w:pPr>
        <w:pStyle w:val="ae"/>
        <w:spacing w:line="276" w:lineRule="auto"/>
        <w:jc w:val="both"/>
        <w:rPr>
          <w:rFonts w:ascii="XO Thames" w:hAnsi="XO Thames"/>
          <w:i/>
          <w:color w:val="000000" w:themeColor="text1"/>
          <w:sz w:val="24"/>
        </w:rPr>
      </w:pPr>
    </w:p>
    <w:p w14:paraId="11000000" w14:textId="77777777" w:rsidR="007A6C06" w:rsidRDefault="004E400C">
      <w:pPr>
        <w:pStyle w:val="ae"/>
        <w:spacing w:line="276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lastRenderedPageBreak/>
        <w:t>Профилактические визиты и предостережения как инструменты профилактики использовались в 2022 году в большинст</w:t>
      </w:r>
      <w:r>
        <w:rPr>
          <w:rFonts w:ascii="XO Thames" w:hAnsi="XO Thames"/>
          <w:i/>
          <w:color w:val="000000" w:themeColor="text1"/>
          <w:sz w:val="24"/>
        </w:rPr>
        <w:t>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</w:t>
      </w:r>
      <w:r>
        <w:rPr>
          <w:rFonts w:ascii="XO Thames" w:hAnsi="XO Thames"/>
          <w:i/>
          <w:color w:val="000000" w:themeColor="text1"/>
          <w:sz w:val="24"/>
        </w:rPr>
        <w:t>едостережения. Подробнее об этом в видеоролике Минэкономразвития России.</w:t>
      </w:r>
    </w:p>
    <w:p w14:paraId="12000000" w14:textId="77777777" w:rsidR="007A6C06" w:rsidRDefault="007A6C06">
      <w:pPr>
        <w:pStyle w:val="ae"/>
        <w:spacing w:line="276" w:lineRule="auto"/>
        <w:jc w:val="both"/>
        <w:rPr>
          <w:rFonts w:ascii="XO Thames" w:hAnsi="XO Thames"/>
          <w:color w:val="000000" w:themeColor="text1"/>
          <w:sz w:val="24"/>
        </w:rPr>
      </w:pPr>
    </w:p>
    <w:p w14:paraId="13000000" w14:textId="77777777" w:rsidR="007A6C06" w:rsidRDefault="004E400C">
      <w:pPr>
        <w:pStyle w:val="ae"/>
        <w:spacing w:line="276" w:lineRule="auto"/>
        <w:jc w:val="both"/>
        <w:rPr>
          <w:rFonts w:ascii="XO Thames" w:hAnsi="XO Thames"/>
          <w:b/>
          <w:i/>
          <w:color w:val="000000" w:themeColor="text1"/>
          <w:sz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u w:val="single"/>
        </w:rPr>
        <w:t>О мерах государственной поддержки</w:t>
      </w:r>
    </w:p>
    <w:p w14:paraId="14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1.</w:t>
      </w:r>
      <w:r>
        <w:rPr>
          <w:rFonts w:ascii="XO Thames" w:hAnsi="XO Thames"/>
          <w:i/>
          <w:color w:val="000000" w:themeColor="text1"/>
          <w:sz w:val="24"/>
        </w:rPr>
        <w:tab/>
        <w:t>Разрешительная деятельность и лицензирование</w:t>
      </w:r>
    </w:p>
    <w:p w14:paraId="15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 xml:space="preserve">- Продление на 12 месяцев отдельных срочных разрешений, </w:t>
      </w:r>
      <w:proofErr w:type="gramStart"/>
      <w:r>
        <w:rPr>
          <w:rFonts w:ascii="XO Thames" w:hAnsi="XO Thames"/>
          <w:i/>
          <w:color w:val="000000" w:themeColor="text1"/>
          <w:sz w:val="24"/>
        </w:rPr>
        <w:t>сроки</w:t>
      </w:r>
      <w:proofErr w:type="gramEnd"/>
      <w:r>
        <w:rPr>
          <w:rFonts w:ascii="XO Thames" w:hAnsi="XO Thames"/>
          <w:i/>
          <w:color w:val="000000" w:themeColor="text1"/>
          <w:sz w:val="24"/>
        </w:rPr>
        <w:t xml:space="preserve"> действия которых истекают в 2023 году </w:t>
      </w:r>
      <w:r>
        <w:rPr>
          <w:rFonts w:ascii="XO Thames" w:hAnsi="XO Thames"/>
          <w:i/>
          <w:color w:val="000000" w:themeColor="text1"/>
          <w:sz w:val="24"/>
        </w:rPr>
        <w:t>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</w:t>
      </w:r>
      <w:r>
        <w:rPr>
          <w:rFonts w:ascii="XO Thames" w:hAnsi="XO Thames"/>
          <w:i/>
          <w:color w:val="000000" w:themeColor="text1"/>
          <w:sz w:val="24"/>
        </w:rPr>
        <w:t>тников (персонала) и иные).</w:t>
      </w:r>
    </w:p>
    <w:p w14:paraId="16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- Право ведом</w:t>
      </w:r>
      <w:proofErr w:type="gramStart"/>
      <w:r>
        <w:rPr>
          <w:rFonts w:ascii="XO Thames" w:hAnsi="XO Thames"/>
          <w:i/>
          <w:color w:val="000000" w:themeColor="text1"/>
          <w:sz w:val="24"/>
        </w:rPr>
        <w:t>ств пр</w:t>
      </w:r>
      <w:proofErr w:type="gramEnd"/>
      <w:r>
        <w:rPr>
          <w:rFonts w:ascii="XO Thames" w:hAnsi="XO Thames"/>
          <w:i/>
          <w:color w:val="000000" w:themeColor="text1"/>
          <w:sz w:val="24"/>
        </w:rPr>
        <w:t>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</w:t>
      </w:r>
      <w:r>
        <w:rPr>
          <w:rFonts w:ascii="XO Thames" w:hAnsi="XO Thames"/>
          <w:i/>
          <w:color w:val="000000" w:themeColor="text1"/>
          <w:sz w:val="24"/>
        </w:rPr>
        <w:t>ния перечня обязательных требований, в том числе лицензионных, и т. д.).</w:t>
      </w:r>
    </w:p>
    <w:p w14:paraId="17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14:paraId="18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 xml:space="preserve">- Не требуется оплата </w:t>
      </w:r>
      <w:proofErr w:type="gramStart"/>
      <w:r>
        <w:rPr>
          <w:rFonts w:ascii="XO Thames" w:hAnsi="XO Thames"/>
          <w:i/>
          <w:color w:val="000000" w:themeColor="text1"/>
          <w:sz w:val="24"/>
        </w:rPr>
        <w:t>гос. пошлин</w:t>
      </w:r>
      <w:proofErr w:type="gramEnd"/>
      <w:r>
        <w:rPr>
          <w:rFonts w:ascii="XO Thames" w:hAnsi="XO Thames"/>
          <w:i/>
          <w:color w:val="000000" w:themeColor="text1"/>
          <w:sz w:val="24"/>
        </w:rPr>
        <w:t xml:space="preserve"> в рамках лицензирования.</w:t>
      </w:r>
    </w:p>
    <w:p w14:paraId="19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 xml:space="preserve">- </w:t>
      </w:r>
      <w:r>
        <w:rPr>
          <w:rFonts w:ascii="XO Thames" w:hAnsi="XO Thames"/>
          <w:i/>
          <w:color w:val="000000" w:themeColor="text1"/>
          <w:sz w:val="24"/>
        </w:rPr>
        <w:t xml:space="preserve">Некоторые особенности разрешительной деятельности в отдельных сферах (например, </w:t>
      </w:r>
      <w:proofErr w:type="gramStart"/>
      <w:r>
        <w:rPr>
          <w:rFonts w:ascii="XO Thames" w:hAnsi="XO Thames"/>
          <w:i/>
          <w:color w:val="000000" w:themeColor="text1"/>
          <w:sz w:val="24"/>
        </w:rPr>
        <w:t>ускоренная</w:t>
      </w:r>
      <w:proofErr w:type="gramEnd"/>
      <w:r>
        <w:rPr>
          <w:rFonts w:ascii="XO Thames" w:hAnsi="XO Thames"/>
          <w:i/>
          <w:color w:val="000000" w:themeColor="text1"/>
          <w:sz w:val="24"/>
        </w:rPr>
        <w:t xml:space="preserve">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</w:t>
      </w:r>
      <w:r>
        <w:rPr>
          <w:rFonts w:ascii="XO Thames" w:hAnsi="XO Thames"/>
          <w:i/>
          <w:color w:val="000000" w:themeColor="text1"/>
          <w:sz w:val="24"/>
        </w:rPr>
        <w:t>ление деятельности в области оказания услуг связи и иные).</w:t>
      </w:r>
    </w:p>
    <w:p w14:paraId="1A000000" w14:textId="77777777" w:rsidR="007A6C06" w:rsidRDefault="007A6C06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</w:p>
    <w:p w14:paraId="1B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</w:t>
      </w:r>
      <w:r>
        <w:rPr>
          <w:rFonts w:ascii="XO Thames" w:hAnsi="XO Thames"/>
          <w:i/>
          <w:color w:val="000000" w:themeColor="text1"/>
          <w:sz w:val="24"/>
        </w:rPr>
        <w:t>та 2022 г. N 353 и признании утратившим силу отдельного положения постановления Правительства Российской Федерации от 12 сентября 2022 г. N 1589"</w:t>
      </w:r>
    </w:p>
    <w:p w14:paraId="1D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2.</w:t>
      </w:r>
      <w:r>
        <w:rPr>
          <w:rFonts w:ascii="XO Thames" w:hAnsi="XO Thames"/>
          <w:i/>
          <w:color w:val="000000" w:themeColor="text1"/>
          <w:sz w:val="24"/>
        </w:rPr>
        <w:tab/>
        <w:t>Мораторий на проверки</w:t>
      </w:r>
    </w:p>
    <w:p w14:paraId="1F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В соответствии с поручением Президента, данного по итогам Петербургского международ</w:t>
      </w:r>
      <w:r>
        <w:rPr>
          <w:rFonts w:ascii="XO Thames" w:hAnsi="XO Thames"/>
          <w:i/>
          <w:color w:val="000000" w:themeColor="text1"/>
          <w:sz w:val="24"/>
        </w:rPr>
        <w:t>ного экономического форума в июле 2022 года, был принят ряд изменений в постановление Правительства № 336.</w:t>
      </w:r>
    </w:p>
    <w:p w14:paraId="20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14:paraId="21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При э</w:t>
      </w:r>
      <w:r>
        <w:rPr>
          <w:rFonts w:ascii="XO Thames" w:hAnsi="XO Thames"/>
          <w:i/>
          <w:color w:val="000000" w:themeColor="text1"/>
          <w:sz w:val="24"/>
        </w:rPr>
        <w:t>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</w:t>
      </w:r>
      <w:r>
        <w:rPr>
          <w:rFonts w:ascii="XO Thames" w:hAnsi="XO Thames"/>
          <w:i/>
          <w:color w:val="000000" w:themeColor="text1"/>
          <w:sz w:val="24"/>
        </w:rPr>
        <w:t xml:space="preserve">ь предписание, но нельзя оштрафовать. Контролер </w:t>
      </w:r>
      <w:r>
        <w:rPr>
          <w:rFonts w:ascii="XO Thames" w:hAnsi="XO Thames"/>
          <w:i/>
          <w:color w:val="000000" w:themeColor="text1"/>
          <w:sz w:val="24"/>
        </w:rPr>
        <w:lastRenderedPageBreak/>
        <w:t xml:space="preserve">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14:paraId="22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Практически в полном объеме продлены на 2023 го</w:t>
      </w:r>
      <w:r>
        <w:rPr>
          <w:rFonts w:ascii="XO Thames" w:hAnsi="XO Thames"/>
          <w:i/>
          <w:color w:val="000000" w:themeColor="text1"/>
          <w:sz w:val="24"/>
        </w:rPr>
        <w:t xml:space="preserve">д ограничения на внеплановые проверки – подход изменился только в части проверок по индикаторам риска как ключевого элемента </w:t>
      </w:r>
      <w:proofErr w:type="gramStart"/>
      <w:r>
        <w:rPr>
          <w:rFonts w:ascii="XO Thames" w:hAnsi="XO Thames"/>
          <w:i/>
          <w:color w:val="000000" w:themeColor="text1"/>
          <w:sz w:val="24"/>
        </w:rPr>
        <w:t>риск-ориентированного</w:t>
      </w:r>
      <w:proofErr w:type="gramEnd"/>
      <w:r>
        <w:rPr>
          <w:rFonts w:ascii="XO Thames" w:hAnsi="XO Thames"/>
          <w:i/>
          <w:color w:val="000000" w:themeColor="text1"/>
          <w:sz w:val="24"/>
        </w:rPr>
        <w:t xml:space="preserve"> подхода. Так, теперь можно провести проверку при выявлении любого индикатора риска – в 2022 году проверка доп</w:t>
      </w:r>
      <w:r>
        <w:rPr>
          <w:rFonts w:ascii="XO Thames" w:hAnsi="XO Thames"/>
          <w:i/>
          <w:color w:val="000000" w:themeColor="text1"/>
          <w:sz w:val="24"/>
        </w:rPr>
        <w:t xml:space="preserve">ускалась только в случае, если выявленный индикатор риска сопряжен с непосредственной угрозой жизни граждан.  </w:t>
      </w:r>
    </w:p>
    <w:p w14:paraId="24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3. Упрощение оценки соответствия</w:t>
      </w:r>
    </w:p>
    <w:p w14:paraId="25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 xml:space="preserve">Продлена до 1 сентября 2023 г. возможность оформления «упрощенных» деклараций </w:t>
      </w:r>
      <w:r>
        <w:rPr>
          <w:rFonts w:ascii="XO Thames" w:hAnsi="XO Thames"/>
          <w:i/>
          <w:color w:val="000000" w:themeColor="text1"/>
          <w:sz w:val="24"/>
        </w:rPr>
        <w:br/>
        <w:t>о соответствии продукции на осно</w:t>
      </w:r>
      <w:r>
        <w:rPr>
          <w:rFonts w:ascii="XO Thames" w:hAnsi="XO Thames"/>
          <w:i/>
          <w:color w:val="000000" w:themeColor="text1"/>
          <w:sz w:val="24"/>
        </w:rPr>
        <w:t xml:space="preserve">вании доказательств ее безопасности, имеющихся у импортера, производителя, поставщика (п. 6 Приложения № 18 к постановлению Правительства Российской Федерации от 12 марта 2022 г. .№ 353). </w:t>
      </w:r>
    </w:p>
    <w:p w14:paraId="26000000" w14:textId="77777777" w:rsidR="007A6C06" w:rsidRDefault="004E400C">
      <w:pPr>
        <w:spacing w:before="240" w:after="240" w:line="240" w:lineRule="auto"/>
        <w:jc w:val="both"/>
        <w:rPr>
          <w:color w:val="000000" w:themeColor="text1"/>
        </w:rPr>
      </w:pPr>
      <w:r>
        <w:rPr>
          <w:rFonts w:ascii="XO Thames" w:hAnsi="XO Thames"/>
          <w:i/>
          <w:color w:val="000000" w:themeColor="text1"/>
          <w:sz w:val="24"/>
        </w:rPr>
        <w:t>Продолжает действовать упрощенный порядок ввоза продукции на террит</w:t>
      </w:r>
      <w:r>
        <w:rPr>
          <w:rFonts w:ascii="XO Thames" w:hAnsi="XO Thames"/>
          <w:i/>
          <w:color w:val="000000" w:themeColor="text1"/>
          <w:sz w:val="24"/>
        </w:rPr>
        <w:t xml:space="preserve">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14:paraId="28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4. Аккредитация в национальной сис</w:t>
      </w:r>
      <w:r>
        <w:rPr>
          <w:rFonts w:ascii="XO Thames" w:hAnsi="XO Thames"/>
          <w:i/>
          <w:color w:val="000000" w:themeColor="text1"/>
          <w:sz w:val="24"/>
        </w:rPr>
        <w:t xml:space="preserve">теме аккредитации </w:t>
      </w:r>
    </w:p>
    <w:p w14:paraId="29000000" w14:textId="77777777" w:rsidR="007A6C06" w:rsidRDefault="004E400C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14:paraId="2A000000" w14:textId="77777777" w:rsidR="007A6C06" w:rsidRDefault="004E400C">
      <w:pPr>
        <w:pStyle w:val="ae"/>
        <w:spacing w:line="276" w:lineRule="auto"/>
        <w:jc w:val="both"/>
        <w:rPr>
          <w:rFonts w:ascii="XO Thames" w:hAnsi="XO Thames"/>
          <w:i/>
          <w:color w:val="000000" w:themeColor="text1"/>
          <w:sz w:val="24"/>
        </w:rPr>
      </w:pPr>
      <w:r>
        <w:rPr>
          <w:rFonts w:ascii="XO Thames" w:hAnsi="XO Thames"/>
          <w:i/>
          <w:color w:val="000000" w:themeColor="text1"/>
          <w:sz w:val="24"/>
        </w:rPr>
        <w:t>Также лабораториям предоставляется возможность расширения области а</w:t>
      </w:r>
      <w:r>
        <w:rPr>
          <w:rFonts w:ascii="XO Thames" w:hAnsi="XO Thames"/>
          <w:i/>
          <w:color w:val="000000" w:themeColor="text1"/>
          <w:sz w:val="24"/>
        </w:rPr>
        <w:t xml:space="preserve">ккредитации в ускоренном режиме. Срок процедуры сокращен до 30 рабочих дней (фактически в среднем услуга оказывается за 15 рабочих дней). </w:t>
      </w:r>
    </w:p>
    <w:p w14:paraId="2B000000" w14:textId="77777777" w:rsidR="007A6C06" w:rsidRDefault="007A6C06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</w:rPr>
      </w:pPr>
    </w:p>
    <w:p w14:paraId="2C000000" w14:textId="77777777" w:rsidR="007A6C06" w:rsidRDefault="007A6C06">
      <w:pPr>
        <w:rPr>
          <w:color w:val="000000" w:themeColor="text1"/>
          <w:sz w:val="24"/>
        </w:rPr>
      </w:pPr>
      <w:bookmarkStart w:id="0" w:name="_GoBack"/>
      <w:bookmarkEnd w:id="0"/>
    </w:p>
    <w:sectPr w:rsidR="007A6C0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 Bl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A6C06"/>
    <w:rsid w:val="004E400C"/>
    <w:rsid w:val="007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Heading4Char">
    <w:name w:val="Heading 4 Char"/>
    <w:basedOn w:val="21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SubtitleChar">
    <w:name w:val="Subtitle Char"/>
    <w:basedOn w:val="21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00">
    <w:name w:val="A0"/>
    <w:link w:val="A01"/>
    <w:rPr>
      <w:b/>
    </w:rPr>
  </w:style>
  <w:style w:type="character" w:customStyle="1" w:styleId="A01">
    <w:name w:val="A0"/>
    <w:link w:val="A00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aptionChar">
    <w:name w:val="Caption Char"/>
    <w:basedOn w:val="a3"/>
    <w:link w:val="CaptionChar0"/>
  </w:style>
  <w:style w:type="character" w:customStyle="1" w:styleId="CaptionChar0">
    <w:name w:val="Caption Char"/>
    <w:basedOn w:val="a4"/>
    <w:link w:val="CaptionChar"/>
    <w:rPr>
      <w:b/>
      <w:color w:val="DDDDDD" w:themeColor="accent1"/>
      <w:sz w:val="1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Gotham Pro Black" w:hAnsi="Gotham Pro Black"/>
      <w:sz w:val="24"/>
    </w:rPr>
  </w:style>
  <w:style w:type="character" w:customStyle="1" w:styleId="Default0">
    <w:name w:val="Default"/>
    <w:link w:val="Default"/>
    <w:rPr>
      <w:rFonts w:ascii="Gotham Pro Black" w:hAnsi="Gotham Pro Black"/>
      <w:sz w:val="24"/>
    </w:rPr>
  </w:style>
  <w:style w:type="paragraph" w:customStyle="1" w:styleId="14">
    <w:name w:val="Знак сноски1"/>
    <w:basedOn w:val="21"/>
    <w:link w:val="a5"/>
    <w:rPr>
      <w:vertAlign w:val="superscript"/>
    </w:rPr>
  </w:style>
  <w:style w:type="character" w:styleId="a5">
    <w:name w:val="footnote reference"/>
    <w:basedOn w:val="a0"/>
    <w:link w:val="14"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3">
    <w:name w:val="caption"/>
    <w:basedOn w:val="a"/>
    <w:next w:val="a"/>
    <w:link w:val="a4"/>
    <w:pPr>
      <w:spacing w:line="276" w:lineRule="auto"/>
    </w:pPr>
    <w:rPr>
      <w:b/>
      <w:color w:val="DDDDD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DDDDDD" w:themeColor="accent1"/>
      <w:sz w:val="18"/>
    </w:rPr>
  </w:style>
  <w:style w:type="paragraph" w:styleId="a8">
    <w:name w:val="Intense Quote"/>
    <w:basedOn w:val="a"/>
    <w:next w:val="a"/>
    <w:link w:val="a9"/>
    <w:pPr>
      <w:ind w:left="720" w:right="720"/>
    </w:pPr>
    <w:rPr>
      <w:i/>
    </w:rPr>
  </w:style>
  <w:style w:type="character" w:customStyle="1" w:styleId="a9">
    <w:name w:val="Выделенная цитата Знак"/>
    <w:basedOn w:val="1"/>
    <w:link w:val="a8"/>
    <w:rPr>
      <w:i/>
    </w:rPr>
  </w:style>
  <w:style w:type="paragraph" w:customStyle="1" w:styleId="FooterChar">
    <w:name w:val="Footer Char"/>
    <w:basedOn w:val="21"/>
    <w:link w:val="FooterChar0"/>
  </w:style>
  <w:style w:type="character" w:customStyle="1" w:styleId="FooterChar0">
    <w:name w:val="Footer Char"/>
    <w:basedOn w:val="a0"/>
    <w:link w:val="FooterChar"/>
  </w:style>
  <w:style w:type="paragraph" w:styleId="24">
    <w:name w:val="Quote"/>
    <w:basedOn w:val="a"/>
    <w:next w:val="a"/>
    <w:link w:val="25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TOC Heading"/>
    <w:link w:val="ab"/>
  </w:style>
  <w:style w:type="character" w:customStyle="1" w:styleId="ab">
    <w:name w:val="Заголовок оглавления Знак"/>
    <w:link w:val="aa"/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customStyle="1" w:styleId="Heading3Char">
    <w:name w:val="Heading 3 Char"/>
    <w:basedOn w:val="21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TitleChar">
    <w:name w:val="Title Char"/>
    <w:basedOn w:val="21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No Spacing"/>
    <w:link w:val="af"/>
    <w:pPr>
      <w:spacing w:after="0" w:line="240" w:lineRule="auto"/>
    </w:pPr>
  </w:style>
  <w:style w:type="character" w:customStyle="1" w:styleId="af">
    <w:name w:val="Без интервала Знак"/>
    <w:link w:val="ae"/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f0"/>
    <w:rPr>
      <w:color w:val="0000FF"/>
      <w:u w:val="single"/>
    </w:rPr>
  </w:style>
  <w:style w:type="character" w:styleId="af0">
    <w:name w:val="Hyperlink"/>
    <w:link w:val="17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1">
    <w:name w:val="endnote text"/>
    <w:basedOn w:val="a"/>
    <w:link w:val="af2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1"/>
    <w:link w:val="af1"/>
    <w:rPr>
      <w:sz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1"/>
    <w:link w:val="af3"/>
  </w:style>
  <w:style w:type="paragraph" w:styleId="af5">
    <w:name w:val="table of figures"/>
    <w:basedOn w:val="a"/>
    <w:next w:val="a"/>
    <w:link w:val="af6"/>
    <w:pPr>
      <w:spacing w:after="0"/>
    </w:pPr>
  </w:style>
  <w:style w:type="character" w:customStyle="1" w:styleId="af6">
    <w:name w:val="Перечень рисунков Знак"/>
    <w:basedOn w:val="1"/>
    <w:link w:val="af5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a">
    <w:name w:val="Выделение1"/>
    <w:basedOn w:val="12"/>
    <w:link w:val="1b"/>
    <w:rPr>
      <w:i/>
    </w:rPr>
  </w:style>
  <w:style w:type="character" w:customStyle="1" w:styleId="1b">
    <w:name w:val="Выделение1"/>
    <w:basedOn w:val="13"/>
    <w:link w:val="1a"/>
    <w:rPr>
      <w:i/>
    </w:rPr>
  </w:style>
  <w:style w:type="paragraph" w:customStyle="1" w:styleId="Heading5Char">
    <w:name w:val="Heading 5 Char"/>
    <w:basedOn w:val="21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Знак концевой сноски1"/>
    <w:basedOn w:val="21"/>
    <w:link w:val="af7"/>
    <w:rPr>
      <w:vertAlign w:val="superscript"/>
    </w:rPr>
  </w:style>
  <w:style w:type="character" w:styleId="af7">
    <w:name w:val="endnote reference"/>
    <w:basedOn w:val="a0"/>
    <w:link w:val="1c"/>
    <w:rPr>
      <w:vertAlign w:val="superscript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21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1Char">
    <w:name w:val="Heading 1 Char"/>
    <w:basedOn w:val="21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HeaderChar">
    <w:name w:val="Header Char"/>
    <w:basedOn w:val="21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1f3">
    <w:name w:val="Гиперссылка1"/>
    <w:basedOn w:val="12"/>
    <w:link w:val="1f4"/>
    <w:rPr>
      <w:color w:val="5F5F5F" w:themeColor="hyperlink"/>
      <w:u w:val="single"/>
    </w:rPr>
  </w:style>
  <w:style w:type="character" w:customStyle="1" w:styleId="1f4">
    <w:name w:val="Гиперссылка1"/>
    <w:basedOn w:val="13"/>
    <w:link w:val="1f3"/>
    <w:rPr>
      <w:color w:val="5F5F5F" w:themeColor="hyperlink"/>
      <w:u w:val="single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2Char">
    <w:name w:val="Heading 2 Char"/>
    <w:basedOn w:val="21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B2B2" w:themeColor="accent4" w:themeTint="9A"/>
        <w:bottom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949494" w:themeColor="accent6" w:themeTint="98"/>
        <w:bottom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E9E9E" w:themeColor="accent5" w:themeTint="9A"/>
        <w:bottom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0C0C0" w:themeColor="accent3" w:themeTint="98"/>
        <w:bottom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1D1D1" w:themeColor="accent2" w:themeTint="97"/>
        <w:bottom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Heading4Char">
    <w:name w:val="Heading 4 Char"/>
    <w:basedOn w:val="21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SubtitleChar">
    <w:name w:val="Subtitle Char"/>
    <w:basedOn w:val="21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00">
    <w:name w:val="A0"/>
    <w:link w:val="A01"/>
    <w:rPr>
      <w:b/>
    </w:rPr>
  </w:style>
  <w:style w:type="character" w:customStyle="1" w:styleId="A01">
    <w:name w:val="A0"/>
    <w:link w:val="A00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aptionChar">
    <w:name w:val="Caption Char"/>
    <w:basedOn w:val="a3"/>
    <w:link w:val="CaptionChar0"/>
  </w:style>
  <w:style w:type="character" w:customStyle="1" w:styleId="CaptionChar0">
    <w:name w:val="Caption Char"/>
    <w:basedOn w:val="a4"/>
    <w:link w:val="CaptionChar"/>
    <w:rPr>
      <w:b/>
      <w:color w:val="DDDDDD" w:themeColor="accent1"/>
      <w:sz w:val="1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Gotham Pro Black" w:hAnsi="Gotham Pro Black"/>
      <w:sz w:val="24"/>
    </w:rPr>
  </w:style>
  <w:style w:type="character" w:customStyle="1" w:styleId="Default0">
    <w:name w:val="Default"/>
    <w:link w:val="Default"/>
    <w:rPr>
      <w:rFonts w:ascii="Gotham Pro Black" w:hAnsi="Gotham Pro Black"/>
      <w:sz w:val="24"/>
    </w:rPr>
  </w:style>
  <w:style w:type="paragraph" w:customStyle="1" w:styleId="14">
    <w:name w:val="Знак сноски1"/>
    <w:basedOn w:val="21"/>
    <w:link w:val="a5"/>
    <w:rPr>
      <w:vertAlign w:val="superscript"/>
    </w:rPr>
  </w:style>
  <w:style w:type="character" w:styleId="a5">
    <w:name w:val="footnote reference"/>
    <w:basedOn w:val="a0"/>
    <w:link w:val="14"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3">
    <w:name w:val="caption"/>
    <w:basedOn w:val="a"/>
    <w:next w:val="a"/>
    <w:link w:val="a4"/>
    <w:pPr>
      <w:spacing w:line="276" w:lineRule="auto"/>
    </w:pPr>
    <w:rPr>
      <w:b/>
      <w:color w:val="DDDDD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DDDDDD" w:themeColor="accent1"/>
      <w:sz w:val="18"/>
    </w:rPr>
  </w:style>
  <w:style w:type="paragraph" w:styleId="a8">
    <w:name w:val="Intense Quote"/>
    <w:basedOn w:val="a"/>
    <w:next w:val="a"/>
    <w:link w:val="a9"/>
    <w:pPr>
      <w:ind w:left="720" w:right="720"/>
    </w:pPr>
    <w:rPr>
      <w:i/>
    </w:rPr>
  </w:style>
  <w:style w:type="character" w:customStyle="1" w:styleId="a9">
    <w:name w:val="Выделенная цитата Знак"/>
    <w:basedOn w:val="1"/>
    <w:link w:val="a8"/>
    <w:rPr>
      <w:i/>
    </w:rPr>
  </w:style>
  <w:style w:type="paragraph" w:customStyle="1" w:styleId="FooterChar">
    <w:name w:val="Footer Char"/>
    <w:basedOn w:val="21"/>
    <w:link w:val="FooterChar0"/>
  </w:style>
  <w:style w:type="character" w:customStyle="1" w:styleId="FooterChar0">
    <w:name w:val="Footer Char"/>
    <w:basedOn w:val="a0"/>
    <w:link w:val="FooterChar"/>
  </w:style>
  <w:style w:type="paragraph" w:styleId="24">
    <w:name w:val="Quote"/>
    <w:basedOn w:val="a"/>
    <w:next w:val="a"/>
    <w:link w:val="25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TOC Heading"/>
    <w:link w:val="ab"/>
  </w:style>
  <w:style w:type="character" w:customStyle="1" w:styleId="ab">
    <w:name w:val="Заголовок оглавления Знак"/>
    <w:link w:val="aa"/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customStyle="1" w:styleId="Heading3Char">
    <w:name w:val="Heading 3 Char"/>
    <w:basedOn w:val="21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TitleChar">
    <w:name w:val="Title Char"/>
    <w:basedOn w:val="21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No Spacing"/>
    <w:link w:val="af"/>
    <w:pPr>
      <w:spacing w:after="0" w:line="240" w:lineRule="auto"/>
    </w:pPr>
  </w:style>
  <w:style w:type="character" w:customStyle="1" w:styleId="af">
    <w:name w:val="Без интервала Знак"/>
    <w:link w:val="ae"/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f0"/>
    <w:rPr>
      <w:color w:val="0000FF"/>
      <w:u w:val="single"/>
    </w:rPr>
  </w:style>
  <w:style w:type="character" w:styleId="af0">
    <w:name w:val="Hyperlink"/>
    <w:link w:val="17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1">
    <w:name w:val="endnote text"/>
    <w:basedOn w:val="a"/>
    <w:link w:val="af2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1"/>
    <w:link w:val="af1"/>
    <w:rPr>
      <w:sz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1"/>
    <w:link w:val="af3"/>
  </w:style>
  <w:style w:type="paragraph" w:styleId="af5">
    <w:name w:val="table of figures"/>
    <w:basedOn w:val="a"/>
    <w:next w:val="a"/>
    <w:link w:val="af6"/>
    <w:pPr>
      <w:spacing w:after="0"/>
    </w:pPr>
  </w:style>
  <w:style w:type="character" w:customStyle="1" w:styleId="af6">
    <w:name w:val="Перечень рисунков Знак"/>
    <w:basedOn w:val="1"/>
    <w:link w:val="af5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a">
    <w:name w:val="Выделение1"/>
    <w:basedOn w:val="12"/>
    <w:link w:val="1b"/>
    <w:rPr>
      <w:i/>
    </w:rPr>
  </w:style>
  <w:style w:type="character" w:customStyle="1" w:styleId="1b">
    <w:name w:val="Выделение1"/>
    <w:basedOn w:val="13"/>
    <w:link w:val="1a"/>
    <w:rPr>
      <w:i/>
    </w:rPr>
  </w:style>
  <w:style w:type="paragraph" w:customStyle="1" w:styleId="Heading5Char">
    <w:name w:val="Heading 5 Char"/>
    <w:basedOn w:val="21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Знак концевой сноски1"/>
    <w:basedOn w:val="21"/>
    <w:link w:val="af7"/>
    <w:rPr>
      <w:vertAlign w:val="superscript"/>
    </w:rPr>
  </w:style>
  <w:style w:type="character" w:styleId="af7">
    <w:name w:val="endnote reference"/>
    <w:basedOn w:val="a0"/>
    <w:link w:val="1c"/>
    <w:rPr>
      <w:vertAlign w:val="superscript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21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1Char">
    <w:name w:val="Heading 1 Char"/>
    <w:basedOn w:val="21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HeaderChar">
    <w:name w:val="Header Char"/>
    <w:basedOn w:val="21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1f3">
    <w:name w:val="Гиперссылка1"/>
    <w:basedOn w:val="12"/>
    <w:link w:val="1f4"/>
    <w:rPr>
      <w:color w:val="5F5F5F" w:themeColor="hyperlink"/>
      <w:u w:val="single"/>
    </w:rPr>
  </w:style>
  <w:style w:type="character" w:customStyle="1" w:styleId="1f4">
    <w:name w:val="Гиперссылка1"/>
    <w:basedOn w:val="13"/>
    <w:link w:val="1f3"/>
    <w:rPr>
      <w:color w:val="5F5F5F" w:themeColor="hyperlink"/>
      <w:u w:val="single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2Char">
    <w:name w:val="Heading 2 Char"/>
    <w:basedOn w:val="21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B2B2" w:themeColor="accent4" w:themeTint="9A"/>
        <w:bottom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949494" w:themeColor="accent6" w:themeTint="98"/>
        <w:bottom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E9E9E" w:themeColor="accent5" w:themeTint="9A"/>
        <w:bottom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0C0C0" w:themeColor="accent3" w:themeTint="98"/>
        <w:bottom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1D1D1" w:themeColor="accent2" w:themeTint="97"/>
        <w:bottom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RUKECON</cp:lastModifiedBy>
  <cp:revision>2</cp:revision>
  <dcterms:created xsi:type="dcterms:W3CDTF">2023-05-25T12:15:00Z</dcterms:created>
  <dcterms:modified xsi:type="dcterms:W3CDTF">2023-05-25T12:16:00Z</dcterms:modified>
</cp:coreProperties>
</file>