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97" w:rsidRPr="007B29DB" w:rsidRDefault="007B29DB" w:rsidP="002B6197">
      <w:pPr>
        <w:shd w:val="clear" w:color="auto" w:fill="FFFFFF"/>
        <w:spacing w:after="0" w:line="240" w:lineRule="auto"/>
        <w:jc w:val="center"/>
        <w:rPr>
          <w:rFonts w:ascii="FuturaNewBook" w:eastAsia="Times New Roman" w:hAnsi="FuturaNewBook" w:cs="Times New Roman"/>
          <w:b/>
          <w:color w:val="000000"/>
          <w:sz w:val="29"/>
          <w:szCs w:val="29"/>
          <w:lang w:eastAsia="ru-RU"/>
        </w:rPr>
      </w:pPr>
      <w:bookmarkStart w:id="0" w:name="_GoBack"/>
      <w:r w:rsidRPr="007B29DB">
        <w:rPr>
          <w:rFonts w:ascii="FuturaNewBook" w:eastAsia="Times New Roman" w:hAnsi="FuturaNewBook" w:cs="Times New Roman"/>
          <w:b/>
          <w:color w:val="000000"/>
          <w:sz w:val="29"/>
          <w:szCs w:val="29"/>
          <w:lang w:eastAsia="ru-RU"/>
        </w:rPr>
        <w:t>П</w:t>
      </w:r>
      <w:r w:rsidR="002B6197" w:rsidRPr="007B29DB">
        <w:rPr>
          <w:rFonts w:ascii="FuturaNewBook" w:eastAsia="Times New Roman" w:hAnsi="FuturaNewBook" w:cs="Times New Roman"/>
          <w:b/>
          <w:color w:val="000000"/>
          <w:sz w:val="29"/>
          <w:szCs w:val="29"/>
          <w:lang w:eastAsia="ru-RU"/>
        </w:rPr>
        <w:t>орядок отнесения объектов контроля к категориям риска</w:t>
      </w:r>
    </w:p>
    <w:bookmarkEnd w:id="0"/>
    <w:p w:rsidR="00D80258" w:rsidRDefault="002B6197" w:rsidP="00F93110">
      <w:pPr>
        <w:ind w:left="-1134"/>
      </w:pP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br/>
      </w: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 xml:space="preserve">        Муниципальный земельный контроль на территории </w:t>
      </w:r>
      <w:r w:rsidR="007B29DB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 xml:space="preserve">сельского поселения </w:t>
      </w:r>
      <w:r w:rsidR="005F33B8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Обшаровка</w:t>
      </w:r>
      <w:r w:rsidR="007B29DB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 xml:space="preserve"> муниципального района Приволжский Самарской области</w:t>
      </w: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 xml:space="preserve"> осуществляется на основе управления рисками причинения вреда (ущерба) охраняемым законом ценностям.</w:t>
      </w: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br/>
      </w: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        Для целей управления рисками причинения вреда (ущерба)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от 31 июля 2020 года № 248-ФЗ «О государственном контроле (надзоре) и муниципальном контроле в Российской Федерации».</w:t>
      </w: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br/>
      </w: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        </w:t>
      </w:r>
      <w:proofErr w:type="gramStart"/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Отнесение органом муниципального земельного контроля земельных участков к определенной категории риска осуществляется в соответствии с критериями отнесения используемых гражданами, юридическими лицами и (или) индивидуальными предпринимателями земельных участков, правообладателями которых они являются, к определенной категории риска при осуществлении муниципального земельно</w:t>
      </w:r>
      <w:r w:rsidR="005F33B8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го контроля согласно Приложению</w:t>
      </w: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 xml:space="preserve"> к Положению о муниципальном земельном контроле на территории </w:t>
      </w:r>
      <w:r w:rsidR="00F93110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 xml:space="preserve">сельского поселения </w:t>
      </w:r>
      <w:r w:rsidR="005F33B8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Обшаровка</w:t>
      </w: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 xml:space="preserve">, утвержденному </w:t>
      </w:r>
      <w:r w:rsidR="00F93110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 xml:space="preserve">решением Собрания представителей сельского поселения </w:t>
      </w:r>
      <w:r w:rsidR="005F33B8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Обшаровка</w:t>
      </w:r>
      <w:proofErr w:type="gramEnd"/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 xml:space="preserve"> от </w:t>
      </w:r>
      <w:r w:rsidR="005F33B8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17</w:t>
      </w: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 xml:space="preserve"> сентября 2021 года № </w:t>
      </w:r>
      <w:r w:rsidR="00F93110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4</w:t>
      </w:r>
      <w:r w:rsidR="005F33B8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5</w:t>
      </w:r>
      <w:r w:rsidR="00F93110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/</w:t>
      </w:r>
      <w:r w:rsidR="005F33B8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16</w:t>
      </w:r>
      <w:r w:rsidR="00F93110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.</w:t>
      </w: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br/>
      </w: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        Отнесение земельных участков к категориям риска и изменение присвоенных земельным участкам категорий риска осуществляются решениями руководителя органа муниципального земельного контроля.</w:t>
      </w: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br/>
      </w: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        При отсутствии решения об отнесении земельных участков к категориям риска такие участки считаются отнесенными к низкой категории риска.</w:t>
      </w: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br/>
      </w: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        При отнесении органом муниципального земельного контроля земельных участков к категориям риска используются в том числе:</w:t>
      </w: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br/>
      </w: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        1) сведения, содержащиеся в Едином государственном реестре недвижимости;</w:t>
      </w: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br/>
      </w: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        2) сведения, полученные в рамках проведенных, должностными лицами органа муниципального земельного контроля, контрольных (надзорных) мероприятий и профилактических мероприятий;</w:t>
      </w: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br/>
      </w: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        3) сведения, содержащиеся в государственном фонде данных, полученных в результате проведения землеустройства;</w:t>
      </w: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br/>
      </w: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        В соответствии с оценкой риска причинения вреда (ущерба) охраняемым законом ценностям устанавливаются три категории риска:</w:t>
      </w: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br/>
      </w: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        1) категория среднего риска;</w:t>
      </w: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br/>
      </w: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        2) категория умеренного риска;</w:t>
      </w: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br/>
      </w: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        3) категория низкого риска.</w:t>
      </w: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br/>
      </w: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        В отношении земельных участков, отнесенных к категории низкого риска, плановые контрольные (надзорные) мероприятия не проводятся.</w:t>
      </w:r>
      <w:r w:rsidRPr="002B6197"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  <w:br/>
      </w:r>
    </w:p>
    <w:sectPr w:rsidR="00D80258" w:rsidSect="00F9311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uturaNew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B92"/>
    <w:rsid w:val="00016463"/>
    <w:rsid w:val="00157322"/>
    <w:rsid w:val="002B6197"/>
    <w:rsid w:val="00497FC6"/>
    <w:rsid w:val="005F33B8"/>
    <w:rsid w:val="007B29DB"/>
    <w:rsid w:val="0089738C"/>
    <w:rsid w:val="00911B92"/>
    <w:rsid w:val="00B152E3"/>
    <w:rsid w:val="00D80258"/>
    <w:rsid w:val="00DE69CA"/>
    <w:rsid w:val="00F9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22"/>
  </w:style>
  <w:style w:type="paragraph" w:styleId="1">
    <w:name w:val="heading 1"/>
    <w:basedOn w:val="a"/>
    <w:link w:val="10"/>
    <w:uiPriority w:val="9"/>
    <w:qFormat/>
    <w:rsid w:val="00497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заволжье</dc:creator>
  <cp:keywords/>
  <dc:description/>
  <cp:lastModifiedBy>Buhgalter</cp:lastModifiedBy>
  <cp:revision>5</cp:revision>
  <dcterms:created xsi:type="dcterms:W3CDTF">2022-07-11T05:55:00Z</dcterms:created>
  <dcterms:modified xsi:type="dcterms:W3CDTF">2022-10-17T11:56:00Z</dcterms:modified>
</cp:coreProperties>
</file>